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36B1" w14:textId="237A87B4" w:rsidR="00E87AA1" w:rsidRPr="0026079D" w:rsidRDefault="0035342D" w:rsidP="00353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B9AF2FA" wp14:editId="693561E5">
            <wp:simplePos x="0" y="0"/>
            <wp:positionH relativeFrom="column">
              <wp:posOffset>929640</wp:posOffset>
            </wp:positionH>
            <wp:positionV relativeFrom="paragraph">
              <wp:posOffset>-769620</wp:posOffset>
            </wp:positionV>
            <wp:extent cx="3192780" cy="1615440"/>
            <wp:effectExtent l="0" t="0" r="7620" b="3810"/>
            <wp:wrapNone/>
            <wp:docPr id="90837031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3DD74" w14:textId="77777777" w:rsidR="00B0505A" w:rsidRPr="0026079D" w:rsidRDefault="00B0505A" w:rsidP="00E87AA1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34DF9899" w14:textId="77777777" w:rsidR="00B0505A" w:rsidRPr="0026079D" w:rsidRDefault="00B0505A" w:rsidP="00E87AA1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0C0CE26B" w14:textId="4107E9DF" w:rsidR="00E87AA1" w:rsidRPr="0026079D" w:rsidRDefault="00C35FB7" w:rsidP="00E87AA1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CENU APTAUJAS</w:t>
      </w:r>
      <w:r w:rsidR="00E83172" w:rsidRPr="00260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NOTEIKUMI</w:t>
      </w:r>
      <w:r w:rsidR="00E87AA1" w:rsidRPr="00260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</w:p>
    <w:p w14:paraId="6556EC99" w14:textId="77777777" w:rsidR="00E87AA1" w:rsidRPr="0026079D" w:rsidRDefault="00E87AA1" w:rsidP="00E87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2BF9F98" w14:textId="55661594" w:rsidR="00E87AA1" w:rsidRPr="0026079D" w:rsidRDefault="0035342D" w:rsidP="00600A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Centrālbaltijas </w:t>
      </w:r>
      <w:r w:rsidR="0033715E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programmas (turpmā</w:t>
      </w:r>
      <w:r w:rsidR="003A5252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 tekstā – Programma) atbalstīt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33715E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3A5252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Projekta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2607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 xml:space="preserve"> Nr. CB0100064 “Ilgtspējīgi mobilitātes risinājumi lauku apvidos” </w:t>
      </w:r>
      <w:r w:rsidR="00600AAE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(turpmāk tekstā – Projekts)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600AAE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SuRuMo</w:t>
      </w:r>
      <w:r w:rsidR="00600AAE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) 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dizaina un maketēšanas pakalpojumi</w:t>
      </w:r>
      <w:r w:rsidR="00600AAE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em</w:t>
      </w:r>
      <w:r w:rsidR="003A5252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(CPV kods – 79822</w:t>
      </w:r>
      <w:r w:rsidR="00117BCB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500</w:t>
      </w:r>
      <w:r w:rsidR="003A5252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-</w:t>
      </w:r>
      <w:r w:rsidR="00117BCB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7</w:t>
      </w:r>
      <w:r w:rsidR="003A5252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).</w:t>
      </w:r>
      <w:r w:rsidR="00E87AA1" w:rsidRPr="00260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 </w:t>
      </w:r>
    </w:p>
    <w:p w14:paraId="1C5A6748" w14:textId="77777777" w:rsidR="00E87AA1" w:rsidRPr="0026079D" w:rsidRDefault="00E87AA1" w:rsidP="00E87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338FF8F" w14:textId="77777777" w:rsidR="00E87AA1" w:rsidRPr="0026079D" w:rsidRDefault="00E87AA1" w:rsidP="00E87A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Informācija par pasūtītāju:</w:t>
      </w:r>
    </w:p>
    <w:p w14:paraId="312E0A07" w14:textId="77777777" w:rsidR="002F4135" w:rsidRPr="0026079D" w:rsidRDefault="002F4135" w:rsidP="00E87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4797"/>
      </w:tblGrid>
      <w:tr w:rsidR="00E87AA1" w:rsidRPr="0026079D" w14:paraId="32C634D0" w14:textId="77777777" w:rsidTr="00E87A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0F8F3" w14:textId="77777777" w:rsidR="00E87AA1" w:rsidRPr="0026079D" w:rsidRDefault="00E87AA1" w:rsidP="00E87A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Pasūtītājs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B609D" w14:textId="77777777" w:rsidR="00E87AA1" w:rsidRPr="0026079D" w:rsidRDefault="00E87AA1" w:rsidP="00E87A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Kurzemes plānošanas reģions</w:t>
            </w:r>
          </w:p>
        </w:tc>
      </w:tr>
      <w:tr w:rsidR="00E87AA1" w:rsidRPr="0026079D" w14:paraId="1C5D0F55" w14:textId="77777777" w:rsidTr="00E87A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4D7DD" w14:textId="77777777" w:rsidR="00E87AA1" w:rsidRPr="0026079D" w:rsidRDefault="00E87AA1" w:rsidP="00E87A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A4459" w14:textId="77777777" w:rsidR="00E87AA1" w:rsidRPr="0026079D" w:rsidRDefault="00E87AA1" w:rsidP="00E87A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Avotu iela 12, Saldus, Saldus novads, LV-3801</w:t>
            </w:r>
          </w:p>
        </w:tc>
      </w:tr>
      <w:tr w:rsidR="00E87AA1" w:rsidRPr="0026079D" w14:paraId="707EEF24" w14:textId="77777777" w:rsidTr="00E87A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1F33D" w14:textId="77777777" w:rsidR="00E87AA1" w:rsidRPr="0026079D" w:rsidRDefault="00E87AA1" w:rsidP="00E87A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Reģistrācijas Nr.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D5050" w14:textId="77777777" w:rsidR="00E87AA1" w:rsidRPr="0026079D" w:rsidRDefault="00E87AA1" w:rsidP="00E87A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90002183562</w:t>
            </w:r>
          </w:p>
        </w:tc>
      </w:tr>
      <w:tr w:rsidR="00E87AA1" w:rsidRPr="0026079D" w14:paraId="3C3BAC6B" w14:textId="77777777" w:rsidTr="00E87A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92F5D" w14:textId="77777777" w:rsidR="00E87AA1" w:rsidRPr="0026079D" w:rsidRDefault="00E87AA1" w:rsidP="00E87A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Kontakti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AE339" w14:textId="77777777" w:rsidR="00E87AA1" w:rsidRPr="0026079D" w:rsidRDefault="00E87AA1" w:rsidP="00E87A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Birojs: Valguma iela 4a, Rīga, LV-1048</w:t>
            </w:r>
          </w:p>
        </w:tc>
      </w:tr>
      <w:tr w:rsidR="00E87AA1" w:rsidRPr="0026079D" w14:paraId="70D6B4E5" w14:textId="77777777" w:rsidTr="00E87A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24CE0" w14:textId="77777777" w:rsidR="00E87AA1" w:rsidRPr="0026079D" w:rsidRDefault="00E87AA1" w:rsidP="00E87AA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C1C91" w14:textId="5359CB4D" w:rsidR="00E87AA1" w:rsidRPr="0026079D" w:rsidRDefault="0035342D" w:rsidP="00E87A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Anna Margreta Vērdiņa</w:t>
            </w:r>
            <w:r w:rsidR="00E87AA1"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tālr. +371 </w:t>
            </w:r>
            <w:r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27000178,</w:t>
            </w:r>
          </w:p>
          <w:p w14:paraId="30C0D5CC" w14:textId="3DD2FFE2" w:rsidR="00E87AA1" w:rsidRPr="0026079D" w:rsidRDefault="00E87AA1" w:rsidP="00E87AA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e-pasts:</w:t>
            </w:r>
            <w:r w:rsidR="0035342D" w:rsidRPr="002607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hyperlink r:id="rId8" w:history="1">
              <w:r w:rsidR="0035342D" w:rsidRPr="0026079D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anna.verdina@kurzemesregions.lv</w:t>
              </w:r>
            </w:hyperlink>
            <w:r w:rsidR="0035342D" w:rsidRPr="002607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</w:tbl>
    <w:p w14:paraId="77E6A176" w14:textId="77777777" w:rsidR="00E87AA1" w:rsidRPr="0026079D" w:rsidRDefault="00E87AA1" w:rsidP="00E87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5CD17D6" w14:textId="77777777" w:rsidR="00E87AA1" w:rsidRPr="0026079D" w:rsidRDefault="007327C6" w:rsidP="00E87AA1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Līguma priekšmets.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</w:p>
    <w:p w14:paraId="08186335" w14:textId="7BDC1136" w:rsidR="00E87AA1" w:rsidRPr="0026079D" w:rsidRDefault="00600AAE" w:rsidP="00E8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rojekta</w:t>
      </w:r>
      <w:r w:rsidR="0035342D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dizaina un maketēšanas pakalpojumi (turpmāk – </w:t>
      </w:r>
      <w:r w:rsidR="008A0EC7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akalpojumi). Pakalpojumi ir jāveic</w:t>
      </w:r>
      <w:r w:rsidR="00217E7F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ievērojot P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rogrammas vizuālās identitātes prasības.</w:t>
      </w:r>
    </w:p>
    <w:p w14:paraId="2AA2A266" w14:textId="77777777" w:rsidR="00E87AA1" w:rsidRPr="0026079D" w:rsidRDefault="00E87AA1" w:rsidP="00E87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C3CFB19" w14:textId="50B5FE0F" w:rsidR="00E87AA1" w:rsidRPr="0026079D" w:rsidRDefault="0026079D" w:rsidP="00E87AA1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Cenu aptaujas</w:t>
      </w:r>
      <w:r w:rsidR="007327C6" w:rsidRPr="00260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mērķis.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</w:p>
    <w:p w14:paraId="0A79B1F8" w14:textId="01B7E7C8" w:rsidR="00E87AA1" w:rsidRPr="0026079D" w:rsidRDefault="00E87AA1" w:rsidP="00E8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Noskaidrot dizaina un maketēšanas pakalpojumu izmaksas</w:t>
      </w:r>
      <w:r w:rsidR="00600AAE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vizuālās identi</w:t>
      </w:r>
      <w:r w:rsidR="00E83172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tātes izveidošanai un </w:t>
      </w:r>
      <w:r w:rsidR="00B0505A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reklāmas materiālu</w:t>
      </w:r>
      <w:r w:rsidR="0035342D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satura radīšanai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 </w:t>
      </w:r>
    </w:p>
    <w:p w14:paraId="06888F36" w14:textId="77777777" w:rsidR="00E87AA1" w:rsidRPr="0026079D" w:rsidRDefault="00E87AA1" w:rsidP="00E8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FEAB7CD" w14:textId="77777777" w:rsidR="00E87AA1" w:rsidRPr="0026079D" w:rsidRDefault="00E87AA1" w:rsidP="00E87AA1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Darba valoda</w:t>
      </w:r>
      <w:r w:rsidR="007327C6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2A99FB41" w14:textId="12306DAA" w:rsidR="00E87AA1" w:rsidRPr="0026079D" w:rsidRDefault="00E87AA1" w:rsidP="00E8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Latviešu</w:t>
      </w:r>
      <w:r w:rsidR="0035342D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angļu valoda.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</w:p>
    <w:p w14:paraId="7048C6E6" w14:textId="77777777" w:rsidR="00E87AA1" w:rsidRPr="0026079D" w:rsidRDefault="00E87AA1" w:rsidP="00E87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303610A" w14:textId="77777777" w:rsidR="00E87AA1" w:rsidRPr="0026079D" w:rsidRDefault="007327C6" w:rsidP="00E87AA1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Darba uzdevums.</w:t>
      </w:r>
    </w:p>
    <w:p w14:paraId="23AE7D4C" w14:textId="70E06415" w:rsidR="00E87AA1" w:rsidRPr="0026079D" w:rsidRDefault="0035342D" w:rsidP="001F5CB4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Kurzemes plānošanas reģiona</w:t>
      </w:r>
      <w:r w:rsidR="00B0505A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vizuālās identitātes izstrāde</w:t>
      </w:r>
      <w:r w:rsidR="00E60E34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vienota tēla veidošanai dažādās komunikācijas vidēs, tādējādi definējot vienkāršus, saprotamus un izpildāmus nosacījumus, gatavojot informāciju par Kurzemes plānošanas reģionu un tā aktualitātēm, kā arī prezentācijas materiālus.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60E34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adoties pēc Pasūtītāja norādēm un vajadzībām</w:t>
      </w:r>
      <w:r w:rsidR="00E60E34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 </w:t>
      </w:r>
      <w:r w:rsidR="00B0505A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="007227FE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zpildītājs  sagatavo Vizuālās identitātes rokasgrāmatu, </w:t>
      </w:r>
      <w:r w:rsidR="00E60E34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kas ietver arī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p w14:paraId="2D316AEE" w14:textId="6B6C6347" w:rsidR="0035342D" w:rsidRPr="0026079D" w:rsidRDefault="0035342D" w:rsidP="00E87AA1">
      <w:pPr>
        <w:pStyle w:val="Sarakstarindkopa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Kurzemes plānoša</w:t>
      </w:r>
      <w:r w:rsidR="00E60E34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na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 reģiona logotipa atjaunošan</w:t>
      </w:r>
      <w:r w:rsidR="00E60E34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piedāvājot jaunas logo versijas latviešu un angļu valodā dažādos</w:t>
      </w:r>
      <w:r w:rsidR="00DA0AB5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60E34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lietojumam un drukai piemērotos 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formātos (piem.,</w:t>
      </w:r>
      <w:r w:rsidR="00E60E34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png, cdr, </w:t>
      </w:r>
      <w:r w:rsid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E60E34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ai un citos), tai skaitā arī krāsu un melnbaltās versijas</w:t>
      </w:r>
      <w:r w:rsidR="00DA0AB5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7227FE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kā arī izvietojuma nosacījumus un savietojamību ar citām zīmēm</w:t>
      </w:r>
      <w:r w:rsidR="00E60E34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  <w:r w:rsidR="007227FE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94058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Logotipa izstrādē jāparedz arī iespēja Kurzemes plānošanas reģiona struktūrvienību attēlojumam (piem., Uzņēmējdarbības centrs, Sabiedriskā transporta nodaļa)</w:t>
      </w:r>
      <w:r w:rsidR="008966C5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kā arī logotipa īs</w:t>
      </w:r>
      <w:r w:rsidR="002F4135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ajai</w:t>
      </w:r>
      <w:r w:rsidR="008966C5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versij</w:t>
      </w:r>
      <w:r w:rsidR="002F4135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ai</w:t>
      </w:r>
      <w:r w:rsidR="008966C5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(piem., tikai tā daļas lietojums)</w:t>
      </w:r>
      <w:r w:rsidR="002F4135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14:paraId="0CB85C7F" w14:textId="626BC0B1" w:rsidR="00E60E34" w:rsidRPr="0026079D" w:rsidRDefault="00E60E34" w:rsidP="00E87AA1">
      <w:pPr>
        <w:pStyle w:val="Sarakstarindkopa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Burtveidola izstrād</w:t>
      </w:r>
      <w:r w:rsidR="007227FE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tā lietojuma definēšanu;</w:t>
      </w:r>
    </w:p>
    <w:p w14:paraId="2E2F0880" w14:textId="30B9B1F3" w:rsidR="007227FE" w:rsidRPr="0026079D" w:rsidRDefault="00E60E34" w:rsidP="00E87AA1">
      <w:pPr>
        <w:pStyle w:val="Sarakstarindkopa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>Krāsu paletes, krāsu kodu</w:t>
      </w:r>
      <w:r w:rsidR="007227FE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 un to lietojuma nosacījumus dažādās vidēs;</w:t>
      </w:r>
    </w:p>
    <w:p w14:paraId="4FF301E6" w14:textId="77777777" w:rsidR="00606E15" w:rsidRPr="0026079D" w:rsidRDefault="007227FE" w:rsidP="00E87AA1">
      <w:pPr>
        <w:pStyle w:val="Sarakstarindkopa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Dažādu vizuālo materiālu un dokumentu </w:t>
      </w:r>
      <w:r w:rsidR="00F72587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veidnes, tai skaitā: </w:t>
      </w:r>
    </w:p>
    <w:p w14:paraId="3BBAAA2E" w14:textId="77777777" w:rsidR="00606E15" w:rsidRPr="0026079D" w:rsidRDefault="00F72587" w:rsidP="00606E15">
      <w:pPr>
        <w:pStyle w:val="Sarakstarindkopa"/>
        <w:numPr>
          <w:ilvl w:val="3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Vimpelis, </w:t>
      </w:r>
    </w:p>
    <w:p w14:paraId="1C99B75D" w14:textId="77777777" w:rsidR="00E90556" w:rsidRPr="0026079D" w:rsidRDefault="00F72587" w:rsidP="00606E15">
      <w:pPr>
        <w:pStyle w:val="Sarakstarindkopa"/>
        <w:numPr>
          <w:ilvl w:val="3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vizītkartes, </w:t>
      </w:r>
    </w:p>
    <w:p w14:paraId="62DB7556" w14:textId="77777777" w:rsidR="00E90556" w:rsidRPr="0026079D" w:rsidRDefault="00F72587" w:rsidP="00606E15">
      <w:pPr>
        <w:pStyle w:val="Sarakstarindkopa"/>
        <w:numPr>
          <w:ilvl w:val="3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veidlapas (krāsu un melnbaltas), </w:t>
      </w:r>
    </w:p>
    <w:p w14:paraId="36CDDEC8" w14:textId="77777777" w:rsidR="00E90556" w:rsidRPr="0026079D" w:rsidRDefault="00F56D68" w:rsidP="00606E15">
      <w:pPr>
        <w:pStyle w:val="Sarakstarindkopa"/>
        <w:numPr>
          <w:ilvl w:val="3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e-pasta paraksts, </w:t>
      </w:r>
    </w:p>
    <w:p w14:paraId="73271D13" w14:textId="77777777" w:rsidR="00E90556" w:rsidRPr="0026079D" w:rsidRDefault="00F72587" w:rsidP="00606E15">
      <w:pPr>
        <w:pStyle w:val="Sarakstarindkopa"/>
        <w:numPr>
          <w:ilvl w:val="3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dokumentu map</w:t>
      </w:r>
      <w:r w:rsidR="00E90556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es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</w:p>
    <w:p w14:paraId="3433797F" w14:textId="77777777" w:rsidR="00E90556" w:rsidRPr="0026079D" w:rsidRDefault="00F72587" w:rsidP="00606E15">
      <w:pPr>
        <w:pStyle w:val="Sarakstarindkopa"/>
        <w:numPr>
          <w:ilvl w:val="3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aploksnes, </w:t>
      </w:r>
    </w:p>
    <w:p w14:paraId="3024DF9C" w14:textId="77777777" w:rsidR="00E90556" w:rsidRPr="0026079D" w:rsidRDefault="00F72587" w:rsidP="00606E15">
      <w:pPr>
        <w:pStyle w:val="Sarakstarindkopa"/>
        <w:numPr>
          <w:ilvl w:val="3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zīmog</w:t>
      </w:r>
      <w:r w:rsidR="00E90556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</w:p>
    <w:p w14:paraId="35EF32D4" w14:textId="0765E886" w:rsidR="00E90556" w:rsidRPr="0026079D" w:rsidRDefault="00493BA3" w:rsidP="00606E15">
      <w:pPr>
        <w:pStyle w:val="Sarakstarindkopa"/>
        <w:numPr>
          <w:ilvl w:val="3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veidne</w:t>
      </w:r>
      <w:r w:rsidR="00F72587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preses relīzēm, </w:t>
      </w:r>
    </w:p>
    <w:p w14:paraId="757C514F" w14:textId="40A6E482" w:rsidR="00E90556" w:rsidRPr="0026079D" w:rsidRDefault="00F72587" w:rsidP="00606E15">
      <w:pPr>
        <w:pStyle w:val="Sarakstarindkopa"/>
        <w:numPr>
          <w:ilvl w:val="3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prezentācijas </w:t>
      </w:r>
      <w:r w:rsidR="00493BA3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veidne</w:t>
      </w:r>
      <w:r w:rsidR="00E90556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14:paraId="619865B6" w14:textId="35EB8374" w:rsidR="00E90556" w:rsidRPr="0026079D" w:rsidRDefault="00493BA3" w:rsidP="00606E15">
      <w:pPr>
        <w:pStyle w:val="Sarakstarindkopa"/>
        <w:numPr>
          <w:ilvl w:val="3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Reģiona </w:t>
      </w:r>
      <w:r w:rsidR="00E90556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Ziņojum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 un citu apjomīgu plānošanas dokumentu, veidne</w:t>
      </w:r>
      <w:r w:rsidR="00E90556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50D6F659" w14:textId="291FCA9B" w:rsidR="00E60E34" w:rsidRPr="0026079D" w:rsidRDefault="00F72587" w:rsidP="00606E15">
      <w:pPr>
        <w:pStyle w:val="Sarakstarindkopa"/>
        <w:numPr>
          <w:ilvl w:val="3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Ziņu lapas dizaina </w:t>
      </w:r>
      <w:r w:rsidR="00493BA3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veidne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14:paraId="0232C7E0" w14:textId="35D54F2E" w:rsidR="008966C5" w:rsidRPr="0026079D" w:rsidRDefault="008966C5" w:rsidP="00606E15">
      <w:pPr>
        <w:pStyle w:val="Sarakstarindkopa"/>
        <w:numPr>
          <w:ilvl w:val="3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Zoom fona dizaina izveide ar logo angļu un latviešu valodās</w:t>
      </w:r>
      <w:r w:rsidR="00C37FCD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14:paraId="0C595904" w14:textId="557AC4BB" w:rsidR="00C37FCD" w:rsidRPr="0026079D" w:rsidRDefault="00C37FCD" w:rsidP="00606E15">
      <w:pPr>
        <w:pStyle w:val="Sarakstarindkopa"/>
        <w:numPr>
          <w:ilvl w:val="3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Rediģējam</w:t>
      </w:r>
      <w:r w:rsidR="002F4135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sociālo tīklu vizualizāciju veidne</w:t>
      </w:r>
      <w:r w:rsidR="00EE0465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ko var pielāgot dažādām vajadzībām</w:t>
      </w:r>
      <w:r w:rsidR="00EE0465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 Pasūtītājs ar Piegādātāju vienojas par ērtāko risinājumu</w:t>
      </w:r>
      <w:r w:rsidR="00397D70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14:paraId="5FFC4F96" w14:textId="2C4507A0" w:rsidR="00397D70" w:rsidRPr="0026079D" w:rsidRDefault="00397D70" w:rsidP="00606E15">
      <w:pPr>
        <w:pStyle w:val="Sarakstarindkopa"/>
        <w:numPr>
          <w:ilvl w:val="3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Daži suvenīru paraugi (piem. pildspalva, papīra bloknots</w:t>
      </w:r>
      <w:r w:rsidR="002F4135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vai citi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), lai demonstrētu logo izvietojuma veidus;</w:t>
      </w:r>
    </w:p>
    <w:p w14:paraId="3037C801" w14:textId="39416023" w:rsidR="00E90556" w:rsidRPr="0026079D" w:rsidRDefault="00194058" w:rsidP="00194058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Balstoties uz vizuālās identitātes rokasgrāmatu</w:t>
      </w:r>
      <w:r w:rsidR="00EE0465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sadarbojoties ar Pasūtītāju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sagatavot reklāmas materiālus izvietošanai medijos un sociālajos tīklos iedzīvotāju informēšanai par Projektā plānotajiem pasākumiem</w:t>
      </w:r>
      <w:r w:rsidR="00E90556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p w14:paraId="74083AF3" w14:textId="25FBA4DD" w:rsidR="00EE0465" w:rsidRPr="0026079D" w:rsidRDefault="002F4135" w:rsidP="00E90556">
      <w:pPr>
        <w:pStyle w:val="Sarakstarindkopa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Divu veidu </w:t>
      </w:r>
      <w:r w:rsidR="00EE0465" w:rsidRPr="0026079D">
        <w:rPr>
          <w:rFonts w:ascii="Times New Roman" w:eastAsia="Times New Roman" w:hAnsi="Times New Roman" w:cs="Times New Roman"/>
          <w:sz w:val="24"/>
          <w:szCs w:val="24"/>
          <w:lang w:eastAsia="lv-LV"/>
        </w:rPr>
        <w:t>A3 formāta plakāta dizainu Projekta publicitātei</w:t>
      </w:r>
      <w:r w:rsidRPr="002607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iedzīvotāju tikšanās reizēm un informācijai par pakalpojumu “Transports pēc pieprasījuma”, paredzot dizaina rediģēšanas iespējas arī Pasūtītājam;</w:t>
      </w:r>
    </w:p>
    <w:p w14:paraId="7F276615" w14:textId="3EF3C513" w:rsidR="00E90556" w:rsidRPr="0026079D" w:rsidRDefault="00EE0465" w:rsidP="00E90556">
      <w:pPr>
        <w:pStyle w:val="Sarakstarindkopa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Trīsdaļīgu A4 formāta divpusēju bukleta dizainu Projekta publicitātei</w:t>
      </w:r>
      <w:r w:rsidR="00E90556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14:paraId="78D3F279" w14:textId="28DC3163" w:rsidR="00EE0465" w:rsidRPr="0026079D" w:rsidRDefault="00EE0465" w:rsidP="00E90556">
      <w:pPr>
        <w:pStyle w:val="Sarakstarindkopa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Vizītkartes tipa divpusēju kartītes dizainu ar informāciju Projekta publicitātei</w:t>
      </w:r>
      <w:r w:rsidR="002F4135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14:paraId="4BB66FE9" w14:textId="13C04307" w:rsidR="00E87AA1" w:rsidRPr="0026079D" w:rsidRDefault="00EE0465" w:rsidP="00E90556">
      <w:pPr>
        <w:pStyle w:val="Sarakstarindkopa"/>
        <w:numPr>
          <w:ilvl w:val="2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Rediģējamu p</w:t>
      </w:r>
      <w:r w:rsidR="00194058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amata veidni</w:t>
      </w:r>
      <w:r w:rsidR="00E90556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sociālajiem tīkliem</w:t>
      </w:r>
      <w:r w:rsidR="00194058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kas piemērojama un papildināma atbilstoši katra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Projekta</w:t>
      </w:r>
      <w:r w:rsidR="00194058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pasākuma saturam un vajadzībām;</w:t>
      </w:r>
    </w:p>
    <w:p w14:paraId="4D05A807" w14:textId="5D78C11F" w:rsidR="00194058" w:rsidRPr="0026079D" w:rsidRDefault="00EE0465" w:rsidP="00194058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Kurzemes plānošanas reģiona vispārīga </w:t>
      </w:r>
      <w:r w:rsidR="009B2C2D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Tekstila 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stenda dizains</w:t>
      </w:r>
      <w:r w:rsidR="00564166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194058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ievērojot vizuālās identitātes rokasgrāmatā noteiktās prasības vispārīgai lietošanai Kurzemes plānošanas reģiona vajadzībām,  (vienots dizains latviešu un angļu valodā), potenciālais izmērs: </w:t>
      </w:r>
      <w:r w:rsidR="00F752F2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90 </w:t>
      </w:r>
      <w:r w:rsidR="00194058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x 2</w:t>
      </w:r>
      <w:r w:rsidR="00F752F2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30</w:t>
      </w:r>
      <w:r w:rsidR="00194058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cm</w:t>
      </w:r>
      <w:r w:rsidR="00F752F2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="00AC5B3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 Nepieciešamības gadījumā Pasūtītājs ir tiesīgs lūgt pielāgot izstrādāto dizainu arī Roll-up stenda izmēram (85 x 200 cm)</w:t>
      </w:r>
    </w:p>
    <w:p w14:paraId="16721681" w14:textId="7A568DEE" w:rsidR="00AC5B31" w:rsidRPr="0026079D" w:rsidRDefault="00F752F2" w:rsidP="00AC5B31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Tekstila </w:t>
      </w:r>
      <w:r w:rsidR="00EE0465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stenda dizains Projekta vajadzībām latviešu valodā, potenciālais izmērs: </w:t>
      </w:r>
      <w:r w:rsidR="00AC5B3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90</w:t>
      </w:r>
      <w:r w:rsidR="00EE0465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x 2</w:t>
      </w:r>
      <w:r w:rsidR="00AC5B3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30</w:t>
      </w:r>
      <w:r w:rsidR="00EE0465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cm.</w:t>
      </w:r>
      <w:r w:rsidR="00AC5B3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Nepieciešamības gadījumā Pasūtītājs ir tiesīgs lūgt pielāgot izstrādāto dizainu arī Roll-up stenda izmēram (85 x 200 cm)</w:t>
      </w:r>
    </w:p>
    <w:p w14:paraId="120AE28A" w14:textId="7C84306C" w:rsidR="0033715E" w:rsidRPr="0026079D" w:rsidRDefault="0033715E" w:rsidP="0033715E">
      <w:pPr>
        <w:pStyle w:val="Sarakstarindkopa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Izpildītājs </w:t>
      </w:r>
      <w:r w:rsidR="00EE0465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var 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vei</w:t>
      </w:r>
      <w:r w:rsidR="00EE0465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kt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194058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arī 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fotogrāfiju (~1-7) iegādi, ja tādas nepieciešam</w:t>
      </w:r>
      <w:r w:rsidR="00600AAE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 vizuāl</w:t>
      </w:r>
      <w:r w:rsidR="00600AAE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</w:t>
      </w:r>
      <w:r w:rsidR="00F752F2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jai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identitātei, </w:t>
      </w:r>
      <w:r w:rsidR="00AC5FE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stenda dizaina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ziņu lap</w:t>
      </w:r>
      <w:r w:rsidR="00AC5FE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as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u.c. vajadzībām. </w:t>
      </w:r>
      <w:r w:rsidR="00600AAE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Pasūtīt</w:t>
      </w:r>
      <w:r w:rsidR="00194058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600AAE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js </w:t>
      </w:r>
      <w:r w:rsidR="00194058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pēc Izpildītāja norādēm var nodrošināt nepieciešamo karšu izstrādi, piedāvāt tā rīcībā esošās fotogrāfijas un citus vizuālos materiālus, ja tie Izpildītājam </w:t>
      </w:r>
      <w:r w:rsidR="00B9323A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ir</w:t>
      </w:r>
      <w:r w:rsidR="00194058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noderīgi</w:t>
      </w:r>
      <w:r w:rsidR="00600AAE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 </w:t>
      </w:r>
    </w:p>
    <w:p w14:paraId="473FBD8A" w14:textId="77777777" w:rsidR="00E87AA1" w:rsidRPr="0026079D" w:rsidRDefault="00E87AA1" w:rsidP="00E87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357255B" w14:textId="77777777" w:rsidR="007327C6" w:rsidRPr="0026079D" w:rsidRDefault="007327C6" w:rsidP="00E87AA1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Citi nosacījumi.</w:t>
      </w:r>
    </w:p>
    <w:p w14:paraId="7141062C" w14:textId="08709552" w:rsidR="00E87AA1" w:rsidRPr="0026079D" w:rsidRDefault="00B9323A" w:rsidP="00732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Reklāmas materiāli</w:t>
      </w:r>
      <w:r w:rsidR="00F752F2" w:rsidRPr="00260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par Projektu</w:t>
      </w:r>
      <w:r w:rsidRPr="002607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jāveido</w:t>
      </w:r>
      <w:r w:rsidR="00F752F2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ievērojot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Centrālās Baltijas programmas 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vadlīnijas </w:t>
      </w:r>
      <w:hyperlink r:id="rId9" w:history="1">
        <w:r w:rsidRPr="0026079D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 xml:space="preserve">https://centralbaltic.eu/programme/information-materials/ </w:t>
        </w:r>
      </w:hyperlink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un projekta specifiku </w:t>
      </w:r>
      <w:hyperlink r:id="rId10" w:history="1">
        <w:r w:rsidRPr="0026079D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https://kurzemesregions.lv/projekti/pievilciga-dzives-vide/surumo/</w:t>
        </w:r>
      </w:hyperlink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6696B866" w14:textId="77777777" w:rsidR="00E87AA1" w:rsidRPr="0026079D" w:rsidRDefault="00E87AA1" w:rsidP="00E87AA1">
      <w:pPr>
        <w:pStyle w:val="Sarakstarindkop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F2D08FB" w14:textId="77777777" w:rsidR="00E87AA1" w:rsidRPr="0026079D" w:rsidRDefault="00E87AA1" w:rsidP="00E87AA1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lastRenderedPageBreak/>
        <w:t>Pakalpojuma sniegšanas termiņš: </w:t>
      </w:r>
    </w:p>
    <w:p w14:paraId="3DBE5C8D" w14:textId="6A85905A" w:rsidR="00E87AA1" w:rsidRPr="0026079D" w:rsidRDefault="00E87AA1" w:rsidP="00E8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4.1.punktā minētajiem darbiem </w:t>
      </w:r>
      <w:r w:rsidR="00183686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–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056A70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aptuveni 90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darba dienu laikā pēc līguma noslēgšanas, bet rēķinot ārā darba dienas, kurās Pasūtītāj</w:t>
      </w:r>
      <w:r w:rsidR="00947BF9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 veic saskaņošanu ar iesaistīta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jiem partneriem un sagatavo priekšlikumus, bet ne vēlāk kā līdz </w:t>
      </w:r>
      <w:r w:rsidR="00056A70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056A70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jūnijam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14:paraId="4AF15F1E" w14:textId="5FA22F8A" w:rsidR="00E87AA1" w:rsidRPr="0026079D" w:rsidRDefault="00E87AA1" w:rsidP="00E87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4.2. punktā minētājiem darbiem </w:t>
      </w:r>
      <w:r w:rsidR="00183686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–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10 darba dienas pēc</w:t>
      </w:r>
      <w:r w:rsidR="00056A70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4.1. punktā aprakstīto 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materiālu iesniegšanas, bet ne vēlāk kā līdz </w:t>
      </w:r>
      <w:r w:rsidR="00056A70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</w:t>
      </w:r>
      <w:r w:rsidR="00B47D87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6</w:t>
      </w:r>
      <w:r w:rsidR="00056A70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.jūnijam.</w:t>
      </w:r>
    </w:p>
    <w:p w14:paraId="50A55AA8" w14:textId="5726D678" w:rsidR="00056A70" w:rsidRPr="0026079D" w:rsidRDefault="00056A70" w:rsidP="00E8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4.3. punktā minētajiem materiāliem – </w:t>
      </w:r>
      <w:r w:rsidR="00B47D87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15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darba dienas pēc 4.1. punktā aprakstīto materiālu iesniegšanas, bet ne vēlāk kā līdz </w:t>
      </w:r>
      <w:r w:rsidR="00B47D87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27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.jūnijam</w:t>
      </w:r>
    </w:p>
    <w:p w14:paraId="28DAF032" w14:textId="77777777" w:rsidR="00E87AA1" w:rsidRPr="0026079D" w:rsidRDefault="00E87AA1" w:rsidP="00E87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3D7006" w14:textId="77777777" w:rsidR="00E87AA1" w:rsidRPr="0026079D" w:rsidRDefault="00E87AA1" w:rsidP="00E87AA1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Piedāvājuma iesniegšanas noteikumi.</w:t>
      </w:r>
    </w:p>
    <w:p w14:paraId="39FF896C" w14:textId="1D98C82F" w:rsidR="007327C6" w:rsidRPr="0026079D" w:rsidRDefault="00E87AA1" w:rsidP="00E87AA1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u w:val="single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Piedāvājums iesnied</w:t>
      </w:r>
      <w:r w:rsidR="009B4E19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zams līdz 202</w:t>
      </w:r>
      <w:r w:rsidR="00B47D87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5</w:t>
      </w:r>
      <w:r w:rsidR="009B4E19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 gada</w:t>
      </w:r>
      <w:r w:rsidR="000C47DA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92AFA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</w:t>
      </w:r>
      <w:r w:rsidR="000C47DA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B47D87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92AFA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marta</w:t>
      </w:r>
      <w:r w:rsidR="00B47D87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</w:t>
      </w:r>
      <w:r w:rsidR="0065401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pulksten 1</w:t>
      </w:r>
      <w:r w:rsidR="000C47DA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</w:t>
      </w:r>
      <w:r w:rsidR="00701B70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00, nosūtot aizpildītu pieteikuma formu (1.pielikums</w:t>
      </w:r>
      <w:r w:rsidR="00F06496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) 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uz e-pastu: </w:t>
      </w:r>
      <w:hyperlink r:id="rId11" w:history="1">
        <w:r w:rsidR="00B47D87" w:rsidRPr="0026079D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anna.verdina@kurzemesregions.lv</w:t>
        </w:r>
      </w:hyperlink>
      <w:r w:rsidR="00B47D87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1B47B5CD" w14:textId="77777777" w:rsidR="009B4E19" w:rsidRPr="0026079D" w:rsidRDefault="009B4E19" w:rsidP="00E87AA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9162A7A" w14:textId="4F6FBC39" w:rsidR="000C47DA" w:rsidRPr="0026079D" w:rsidRDefault="00E87AA1" w:rsidP="000C47DA">
      <w:pPr>
        <w:pStyle w:val="Sarakstarindkopa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Piedāvājuma izvērtēšana, lēmuma pieņemšana</w:t>
      </w:r>
      <w:r w:rsidR="000C47DA" w:rsidRPr="00260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.</w:t>
      </w:r>
    </w:p>
    <w:p w14:paraId="52685C37" w14:textId="4BA1A946" w:rsidR="009B4E19" w:rsidRPr="0026079D" w:rsidRDefault="00FB4ED7" w:rsidP="009B4E19">
      <w:pPr>
        <w:pStyle w:val="Sarakstarindkopa"/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otiks piedāvājumu izskatīšana un izvērtēšana. </w:t>
      </w:r>
    </w:p>
    <w:p w14:paraId="08A69847" w14:textId="20A87B9D" w:rsidR="009B4E19" w:rsidRPr="0026079D" w:rsidRDefault="00AC5FEE" w:rsidP="009B4E19">
      <w:pPr>
        <w:pStyle w:val="Sarakstarindkopa"/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Cenu aptaujas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veicējam, pēc piedāvājumu saņemšanas, ir tiesības veikt sarunas ar pretendentiem par piedāvājumu precizēšanu un/vai uzlabošanu un iepirkuma līguma noteikumiem. </w:t>
      </w:r>
    </w:p>
    <w:p w14:paraId="7A2C9DA7" w14:textId="3A05369A" w:rsidR="009B4E19" w:rsidRPr="0026079D" w:rsidRDefault="00AC5FEE" w:rsidP="009B4E19">
      <w:pPr>
        <w:pStyle w:val="Sarakstarindkopa"/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Cenu aptaujas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veicējam jebkurā brīdī līdz galīgā lēmuma pieņemšanai par</w:t>
      </w:r>
      <w:r w:rsidR="0056216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6216E" w:rsidRPr="0056216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Cenu aptaujas 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rezultātiem ir tiesības uzaicināt citus pretendentus iesniegt piedāvājumus, kā arī uzaicināt viņus uz sarunām. </w:t>
      </w:r>
    </w:p>
    <w:p w14:paraId="1CA902E9" w14:textId="4B0963D0" w:rsidR="009B4E19" w:rsidRPr="0026079D" w:rsidRDefault="00AC5FEE" w:rsidP="009B4E19">
      <w:pPr>
        <w:pStyle w:val="Sarakstarindkopa"/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Cenu aptaujas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veicējam ir tiesības sarunas veikt tikai ar tiem pretendentiem, kuru iesniegtie piedāvājumi ir potenciāli visizdevīgākie.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Cenu aptaujas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veicējs ir tiesīgs uzsākt sarunas arī ar pretendentu, ar kuru iepriekš sarunas netika veiktas.</w:t>
      </w:r>
    </w:p>
    <w:p w14:paraId="1AE16636" w14:textId="3795D55E" w:rsidR="009B4E19" w:rsidRPr="0026079D" w:rsidRDefault="00AC5FEE" w:rsidP="009B4E19">
      <w:pPr>
        <w:pStyle w:val="Sarakstarindkopa"/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Cenu aptaujas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veicējs lūdz pretendentus, ar kuriem notikušas sarunas, apstiprināt savu gala piedāvājumu, ja uzskata, ka ir iegūts tā vajadzībām atbilstošs piedāvājums.</w:t>
      </w:r>
    </w:p>
    <w:p w14:paraId="541AD69F" w14:textId="77777777" w:rsidR="009B4E19" w:rsidRPr="0026079D" w:rsidRDefault="00E87AA1" w:rsidP="009B4E19">
      <w:pPr>
        <w:pStyle w:val="Sarakstarindkopa"/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 iesniegtajiem piedāvājumiem tiks izvēlēts saimnieciski visizdevīgākais piedāvājums ar zemāko cenu. </w:t>
      </w:r>
    </w:p>
    <w:p w14:paraId="24A863A9" w14:textId="6C710548" w:rsidR="009B4E19" w:rsidRPr="0026079D" w:rsidRDefault="00AC5FEE" w:rsidP="009B4E19">
      <w:pPr>
        <w:pStyle w:val="Sarakstarindkopa"/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Cenu aptaujas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veicējam ir tiesības pārtraukt </w:t>
      </w:r>
      <w:r w:rsidR="0056216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cenu aptauju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ja piedāvātā cena pārsniedz </w:t>
      </w:r>
      <w:r w:rsidR="0056216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cenu aptaujas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veicēja budžeta iespējas vai ja nav iespējam</w:t>
      </w:r>
      <w:r w:rsidR="007327C6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 saņemt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Cenu aptaujas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7327C6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veicēja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vajadzībām atbilstošu piedāvājumu. </w:t>
      </w:r>
    </w:p>
    <w:p w14:paraId="6B041253" w14:textId="1B94FC61" w:rsidR="009B4E19" w:rsidRPr="0026079D" w:rsidRDefault="007327C6" w:rsidP="009B4E19">
      <w:pPr>
        <w:pStyle w:val="Sarakstarindkopa"/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Ja p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retendents, kurš ir iesniedzis noteikumu prasībām atbilstošu piedāvājumu</w:t>
      </w:r>
      <w:r w:rsidR="00C35FB7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tam nav</w:t>
      </w:r>
      <w:r w:rsidR="00C35FB7" w:rsidRPr="0026079D">
        <w:rPr>
          <w:rFonts w:ascii="Times New Roman" w:hAnsi="Times New Roman" w:cs="Times New Roman"/>
        </w:rPr>
        <w:t xml:space="preserve"> piemērotas starptautiskās vai nacionālās sankcijas vai būtiskas finanšu tirgus intereses ietekmējošas ES vai Ziemeļatlantijas līguma organizācijas dalībvalsts (NATO) noteiktās sankcijas, kas ietekmē līguma izpildi,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ir atzīts par uzvarētāju </w:t>
      </w:r>
      <w:r w:rsidR="00E1266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Cenu aptaujā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nenoslēdz iepirkuma līgumu, </w:t>
      </w:r>
      <w:r w:rsidR="00AC5FE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Cenu aptaujas</w:t>
      </w:r>
      <w:r w:rsidR="00AC5FEE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veicējam ir tiesības izvēlēties nākamo piedāvājumu ar zemāko cenu.</w:t>
      </w:r>
    </w:p>
    <w:p w14:paraId="163FE261" w14:textId="77777777" w:rsidR="007327C6" w:rsidRPr="0026079D" w:rsidRDefault="007327C6" w:rsidP="007327C6">
      <w:pPr>
        <w:pStyle w:val="Sarakstarindkopa"/>
        <w:spacing w:after="120" w:line="240" w:lineRule="auto"/>
        <w:ind w:left="792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2BDC7031" w14:textId="3CA5066F" w:rsidR="00E87AA1" w:rsidRPr="0026079D" w:rsidRDefault="00AC5FEE" w:rsidP="009B4E19">
      <w:pPr>
        <w:pStyle w:val="Sarakstarindkopa"/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C5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Cenu aptaujas </w:t>
      </w:r>
      <w:r w:rsidR="00E87AA1" w:rsidRPr="00AC5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rezultātu</w:t>
      </w:r>
      <w:r w:rsidR="00E87AA1" w:rsidRPr="00260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paziņošana</w:t>
      </w:r>
      <w:r w:rsidR="009B4E19" w:rsidRPr="002607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.</w:t>
      </w:r>
    </w:p>
    <w:p w14:paraId="42C8D02F" w14:textId="218582DD" w:rsidR="00E87AA1" w:rsidRPr="0026079D" w:rsidRDefault="00AC5FEE" w:rsidP="007327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Cenu aptaujas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veicējs informē visus pretendentus par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Cenu aptaujas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87AA1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rezultātiem.</w:t>
      </w:r>
    </w:p>
    <w:p w14:paraId="2CE76062" w14:textId="77777777" w:rsidR="007A53FB" w:rsidRPr="0026079D" w:rsidRDefault="007A53FB" w:rsidP="00E87AA1">
      <w:pPr>
        <w:rPr>
          <w:rFonts w:ascii="Times New Roman" w:hAnsi="Times New Roman" w:cs="Times New Roman"/>
          <w:sz w:val="24"/>
          <w:szCs w:val="24"/>
        </w:rPr>
      </w:pPr>
    </w:p>
    <w:p w14:paraId="43696A1D" w14:textId="77777777" w:rsidR="00082CE8" w:rsidRPr="0026079D" w:rsidRDefault="00082CE8" w:rsidP="00E87AA1">
      <w:pPr>
        <w:rPr>
          <w:rFonts w:ascii="Times New Roman" w:hAnsi="Times New Roman" w:cs="Times New Roman"/>
          <w:sz w:val="24"/>
          <w:szCs w:val="24"/>
        </w:rPr>
      </w:pPr>
    </w:p>
    <w:p w14:paraId="2F6C1ACC" w14:textId="564BE047" w:rsidR="00592AFA" w:rsidRPr="0026079D" w:rsidRDefault="00592AFA" w:rsidP="00592AFA">
      <w:pPr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079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37E7E400" wp14:editId="5622B68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92780" cy="1615440"/>
            <wp:effectExtent l="0" t="0" r="7620" b="3810"/>
            <wp:wrapNone/>
            <wp:docPr id="129076719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79D">
        <w:rPr>
          <w:rFonts w:ascii="Times New Roman" w:hAnsi="Times New Roman" w:cs="Times New Roman"/>
        </w:rPr>
        <w:tab/>
      </w:r>
    </w:p>
    <w:p w14:paraId="789F4094" w14:textId="77777777" w:rsidR="00592AFA" w:rsidRPr="0026079D" w:rsidRDefault="00592AFA" w:rsidP="00592AFA">
      <w:pPr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4CE18B" w14:textId="1375A293" w:rsidR="00592AFA" w:rsidRPr="0026079D" w:rsidRDefault="00592AFA" w:rsidP="00592AFA">
      <w:pPr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6079D">
        <w:rPr>
          <w:rFonts w:ascii="Times New Roman" w:hAnsi="Times New Roman" w:cs="Times New Roman"/>
          <w:b/>
          <w:sz w:val="24"/>
          <w:szCs w:val="24"/>
        </w:rPr>
        <w:t>1.Pielikums</w:t>
      </w:r>
    </w:p>
    <w:p w14:paraId="5D757EBD" w14:textId="2D9B7039" w:rsidR="00592AFA" w:rsidRPr="0026079D" w:rsidRDefault="00AC5FEE" w:rsidP="00592AF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5F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lastRenderedPageBreak/>
        <w:t>Cenu aptaujas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92AFA" w:rsidRPr="0026079D">
        <w:rPr>
          <w:rFonts w:ascii="Times New Roman" w:hAnsi="Times New Roman" w:cs="Times New Roman"/>
          <w:i/>
          <w:sz w:val="24"/>
          <w:szCs w:val="24"/>
        </w:rPr>
        <w:t>noteikumiem</w:t>
      </w:r>
    </w:p>
    <w:p w14:paraId="7F8C126A" w14:textId="77777777" w:rsidR="00592AFA" w:rsidRPr="0026079D" w:rsidRDefault="00592AFA" w:rsidP="00592AFA">
      <w:pPr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79D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BAB7314" w14:textId="5E197A43" w:rsidR="00592AFA" w:rsidRPr="0026079D" w:rsidRDefault="00592AFA" w:rsidP="00592A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Centrālbaltijas  programmas (turpmāk tekstā – Programma) atbalstītā Projekta  Nr.CB0100064 “Ilgtspējīgi mobilitātes risinājumi lauku apvidos” (turpmāk tekstā – Projekts) dizaina un maketēšanas pakalpojumi:</w:t>
      </w:r>
    </w:p>
    <w:p w14:paraId="3B6AA8CC" w14:textId="77777777" w:rsidR="00592AFA" w:rsidRPr="0026079D" w:rsidRDefault="00592AFA" w:rsidP="00592AF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5DA6E7C" w14:textId="77777777" w:rsidR="00592AFA" w:rsidRPr="0026079D" w:rsidRDefault="00592AFA" w:rsidP="00592AF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079D">
        <w:rPr>
          <w:rFonts w:ascii="Times New Roman" w:hAnsi="Times New Roman" w:cs="Times New Roman"/>
          <w:sz w:val="24"/>
          <w:szCs w:val="24"/>
        </w:rPr>
        <w:t xml:space="preserve">Pretendents: </w:t>
      </w:r>
      <w:r w:rsidRPr="0026079D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5953"/>
      </w:tblGrid>
      <w:tr w:rsidR="00592AFA" w:rsidRPr="0026079D" w14:paraId="228D788C" w14:textId="77777777" w:rsidTr="008712E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D2C64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D">
              <w:rPr>
                <w:rFonts w:ascii="Times New Roman" w:hAnsi="Times New Roman" w:cs="Times New Roman"/>
                <w:sz w:val="24"/>
                <w:szCs w:val="24"/>
              </w:rPr>
              <w:t>Nosaukums/Vārds, uzvārds</w:t>
            </w:r>
            <w:r w:rsidRPr="002607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2607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CBA7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FA" w:rsidRPr="0026079D" w14:paraId="04B1FFB4" w14:textId="77777777" w:rsidTr="008712E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65326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D">
              <w:rPr>
                <w:rFonts w:ascii="Times New Roman" w:hAnsi="Times New Roman" w:cs="Times New Roman"/>
                <w:sz w:val="24"/>
                <w:szCs w:val="24"/>
              </w:rPr>
              <w:t>Reģistrācijas numurs/ personas kods</w:t>
            </w:r>
            <w:r w:rsidRPr="002607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2607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ACCD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FA" w:rsidRPr="0026079D" w14:paraId="11A4EBA0" w14:textId="77777777" w:rsidTr="008712E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B5DF4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D">
              <w:rPr>
                <w:rFonts w:ascii="Times New Roman" w:hAnsi="Times New Roman" w:cs="Times New Roman"/>
                <w:sz w:val="24"/>
                <w:szCs w:val="24"/>
              </w:rPr>
              <w:t>Juridiskā adrese/ deklarētā dzīvesvietas adrese</w:t>
            </w:r>
            <w:r w:rsidRPr="002607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 w:rsidRPr="002607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3102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FA" w:rsidRPr="0026079D" w14:paraId="3B991004" w14:textId="77777777" w:rsidTr="008712E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F0210D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D">
              <w:rPr>
                <w:rFonts w:ascii="Times New Roman" w:hAnsi="Times New Roman" w:cs="Times New Roman"/>
                <w:sz w:val="24"/>
                <w:szCs w:val="24"/>
              </w:rPr>
              <w:t xml:space="preserve">Telefona numurs: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FE4F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FA" w:rsidRPr="0026079D" w14:paraId="0DDE6150" w14:textId="77777777" w:rsidTr="008712EF">
        <w:trPr>
          <w:trHeight w:val="32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831D5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D"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  <w:r w:rsidRPr="002607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  <w:r w:rsidRPr="002607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A40D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804B1" w14:textId="77777777" w:rsidR="00592AFA" w:rsidRPr="0026079D" w:rsidRDefault="00592AFA" w:rsidP="00592AF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48"/>
        <w:gridCol w:w="5979"/>
      </w:tblGrid>
      <w:tr w:rsidR="00592AFA" w:rsidRPr="0026079D" w14:paraId="08037DF4" w14:textId="77777777" w:rsidTr="008712E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8D0D9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D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C071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FA" w:rsidRPr="0026079D" w14:paraId="63974A73" w14:textId="77777777" w:rsidTr="008712E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03B763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D">
              <w:rPr>
                <w:rFonts w:ascii="Times New Roman" w:hAnsi="Times New Roman" w:cs="Times New Roman"/>
                <w:sz w:val="24"/>
                <w:szCs w:val="24"/>
              </w:rPr>
              <w:t xml:space="preserve">Telefona numurs: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F7DA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0FF91E" w14:textId="77777777" w:rsidR="00592AFA" w:rsidRPr="0026079D" w:rsidRDefault="00592AFA" w:rsidP="00592AF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6079D">
        <w:rPr>
          <w:rFonts w:ascii="Times New Roman" w:hAnsi="Times New Roman" w:cs="Times New Roman"/>
          <w:sz w:val="24"/>
          <w:szCs w:val="24"/>
        </w:rPr>
        <w:t>Pretendents apliecina, ka nav tādu apstākļu, kuri liegtu iesniegt piedāvājumu un nodrošināt pakalpojuma izpildi.</w:t>
      </w:r>
    </w:p>
    <w:p w14:paraId="05D4B77D" w14:textId="77777777" w:rsidR="00592AFA" w:rsidRPr="0026079D" w:rsidRDefault="00592AFA" w:rsidP="00592AF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079D">
        <w:rPr>
          <w:rFonts w:ascii="Times New Roman" w:hAnsi="Times New Roman" w:cs="Times New Roman"/>
          <w:sz w:val="24"/>
          <w:szCs w:val="24"/>
        </w:rPr>
        <w:t xml:space="preserve">Pretendents apņemas sniegt </w:t>
      </w:r>
      <w:r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dizaina un maketēšanas</w:t>
      </w:r>
      <w:r w:rsidRPr="0026079D">
        <w:rPr>
          <w:rFonts w:ascii="Times New Roman" w:hAnsi="Times New Roman" w:cs="Times New Roman"/>
          <w:sz w:val="24"/>
          <w:szCs w:val="24"/>
        </w:rPr>
        <w:t xml:space="preserve"> pakalpojumus saskaņā ar šo  noteikumu 4. punktā noteiktām prasībām un atbilstoši vispārpieņemtiem dizaineru un maketētāju pakalpojumu sniedzēju nosacījumiem un normām.</w:t>
      </w:r>
    </w:p>
    <w:p w14:paraId="4C8FE3BE" w14:textId="3696A4F2" w:rsidR="00592AFA" w:rsidRPr="0026079D" w:rsidRDefault="00592AFA" w:rsidP="00592AF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079D">
        <w:rPr>
          <w:rFonts w:ascii="Times New Roman" w:hAnsi="Times New Roman" w:cs="Times New Roman"/>
          <w:sz w:val="24"/>
          <w:szCs w:val="24"/>
        </w:rPr>
        <w:t xml:space="preserve">Iesniedzot pieteikumu, pretendents piekrīt, ka </w:t>
      </w:r>
      <w:r w:rsidR="00AC5FE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Cenu aptaujas</w:t>
      </w:r>
      <w:r w:rsidR="00AC5FEE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26079D">
        <w:rPr>
          <w:rFonts w:ascii="Times New Roman" w:hAnsi="Times New Roman" w:cs="Times New Roman"/>
          <w:sz w:val="24"/>
          <w:szCs w:val="24"/>
        </w:rPr>
        <w:t xml:space="preserve">veicējs komunikācijai ar pretendentu izmantos šajā pieteikumā norādīto elektroniskā pasta adresi un telefona numuru. </w:t>
      </w:r>
    </w:p>
    <w:p w14:paraId="4720C5BE" w14:textId="77777777" w:rsidR="00592AFA" w:rsidRPr="0026079D" w:rsidRDefault="00592AFA" w:rsidP="00592AF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079D">
        <w:rPr>
          <w:rFonts w:ascii="Times New Roman" w:hAnsi="Times New Roman" w:cs="Times New Roman"/>
          <w:sz w:val="24"/>
          <w:szCs w:val="24"/>
        </w:rPr>
        <w:t>Pretendents apliecina, ka tam ir nepieciešamie speciālisti un resursi, lai kvalitatīvi izpildītu Pakalpojumu.</w:t>
      </w:r>
    </w:p>
    <w:p w14:paraId="4F4EDC12" w14:textId="77777777" w:rsidR="00592AFA" w:rsidRPr="0026079D" w:rsidRDefault="00592AFA" w:rsidP="00592AF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5D7469" w14:textId="77777777" w:rsidR="00592AFA" w:rsidRPr="0026079D" w:rsidRDefault="00592AFA" w:rsidP="00592AF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6079D">
        <w:rPr>
          <w:rFonts w:ascii="Times New Roman" w:hAnsi="Times New Roman" w:cs="Times New Roman"/>
          <w:b/>
          <w:sz w:val="24"/>
          <w:szCs w:val="24"/>
        </w:rPr>
        <w:lastRenderedPageBreak/>
        <w:t>Cena par Pakalpojuma kvalitatīvu izpildi:</w:t>
      </w:r>
    </w:p>
    <w:tbl>
      <w:tblPr>
        <w:tblW w:w="8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0"/>
        <w:gridCol w:w="1701"/>
        <w:gridCol w:w="1775"/>
      </w:tblGrid>
      <w:tr w:rsidR="00592AFA" w:rsidRPr="0026079D" w14:paraId="4C660655" w14:textId="77777777" w:rsidTr="00592AFA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799C3" w14:textId="77777777" w:rsidR="00592AFA" w:rsidRPr="0026079D" w:rsidRDefault="00592AFA" w:rsidP="008712E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79D">
              <w:rPr>
                <w:rFonts w:ascii="Times New Roman" w:hAnsi="Times New Roman" w:cs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2C1D4" w14:textId="77777777" w:rsidR="00592AFA" w:rsidRPr="0026079D" w:rsidRDefault="00592AFA" w:rsidP="008712E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79D">
              <w:rPr>
                <w:rFonts w:ascii="Times New Roman" w:hAnsi="Times New Roman" w:cs="Times New Roman"/>
                <w:b/>
                <w:sz w:val="24"/>
                <w:szCs w:val="24"/>
              </w:rPr>
              <w:t>Cena bez PVN, EUR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32C2C0" w14:textId="2ADF6962" w:rsidR="00592AFA" w:rsidRPr="0026079D" w:rsidRDefault="00592AFA" w:rsidP="008712E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79D">
              <w:rPr>
                <w:rFonts w:ascii="Times New Roman" w:hAnsi="Times New Roman" w:cs="Times New Roman"/>
                <w:b/>
                <w:sz w:val="24"/>
                <w:szCs w:val="24"/>
              </w:rPr>
              <w:t>Cena ar PVN, EUR</w:t>
            </w:r>
            <w:r w:rsidR="00AC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(vai norādīt, ka nav PVN maksātājs)</w:t>
            </w:r>
          </w:p>
        </w:tc>
      </w:tr>
      <w:tr w:rsidR="00592AFA" w:rsidRPr="0026079D" w14:paraId="12E2C9A6" w14:textId="77777777" w:rsidTr="00592AFA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239FB" w14:textId="77777777" w:rsidR="00357D26" w:rsidRPr="0026079D" w:rsidRDefault="00592AFA" w:rsidP="008712EF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Kurzemes plānošanas reģiona vizuālās identitātes izstrāde vienota tēla veidošanai dažādās komunikācijas vidēs, </w:t>
            </w:r>
          </w:p>
          <w:p w14:paraId="010DC8C5" w14:textId="30D275FC" w:rsidR="00592AFA" w:rsidRPr="0026079D" w:rsidRDefault="00357D26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Kas ietver</w:t>
            </w:r>
            <w:r w:rsidR="00592AFA"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logotipu, burtveidolu izstrād</w:t>
            </w:r>
            <w:r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="00592AFA"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,</w:t>
            </w:r>
            <w:r w:rsidR="00592AFA" w:rsidRPr="0026079D">
              <w:rPr>
                <w:rFonts w:ascii="Times New Roman" w:hAnsi="Times New Roman" w:cs="Times New Roman"/>
              </w:rPr>
              <w:t xml:space="preserve"> </w:t>
            </w:r>
            <w:r w:rsidR="00592AFA"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Krāsu paletes, krāsu kodus un to lietojuma nosacījum</w:t>
            </w:r>
            <w:r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us</w:t>
            </w:r>
            <w:r w:rsidR="00592AFA"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kā arī </w:t>
            </w:r>
            <w:r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</w:t>
            </w:r>
            <w:r w:rsidR="00592AFA"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ažādu vizuālo materiālu un dokumentu veidņu sagatavošana.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BD189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22F70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FA" w:rsidRPr="0026079D" w14:paraId="142BDD98" w14:textId="77777777" w:rsidTr="00592AFA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E9B08" w14:textId="669ECBB6" w:rsidR="00592AFA" w:rsidRPr="0026079D" w:rsidRDefault="00592AFA" w:rsidP="008712EF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Projekta reklāmas materiāli, tai skaitā plakāta, bukleta, kartītes un sociālo tīklu veidnes izveide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E3E73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E92A0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FA" w:rsidRPr="0026079D" w14:paraId="7FAEB180" w14:textId="77777777" w:rsidTr="00592AFA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0BF0C" w14:textId="43E177DB" w:rsidR="00592AFA" w:rsidRPr="0026079D" w:rsidRDefault="004B5419" w:rsidP="008712EF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Tekstila</w:t>
            </w:r>
            <w:r w:rsidR="00592AFA"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stenda dizains KPR vajadzībām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E1D5A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8F868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FA" w:rsidRPr="0026079D" w14:paraId="2FDA31F1" w14:textId="77777777" w:rsidTr="00592AFA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C884A" w14:textId="1EF671D1" w:rsidR="00592AFA" w:rsidRPr="0026079D" w:rsidRDefault="004B5419" w:rsidP="008712EF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Tekstila</w:t>
            </w:r>
            <w:r w:rsidR="00592AFA" w:rsidRPr="00260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stenda dizains Projekta vajadzībām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5646A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9EEC7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FA" w:rsidRPr="0026079D" w14:paraId="4E73FE8A" w14:textId="77777777" w:rsidTr="00592AFA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A3000" w14:textId="6F97F157" w:rsidR="00592AFA" w:rsidRPr="0026079D" w:rsidRDefault="00592AFA" w:rsidP="00592AFA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26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Pavisam kopā: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06A0F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1973E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BD3CD4" w14:textId="77777777" w:rsidR="00592AFA" w:rsidRPr="0026079D" w:rsidRDefault="00592AFA" w:rsidP="00592AFA">
      <w:pPr>
        <w:tabs>
          <w:tab w:val="left" w:pos="1260"/>
        </w:tabs>
        <w:rPr>
          <w:rFonts w:ascii="Times New Roman" w:hAnsi="Times New Roman" w:cs="Times New Roman"/>
          <w:b/>
          <w:sz w:val="24"/>
          <w:szCs w:val="24"/>
        </w:rPr>
      </w:pPr>
    </w:p>
    <w:p w14:paraId="56D383CE" w14:textId="77777777" w:rsidR="00592AFA" w:rsidRPr="0026079D" w:rsidRDefault="00592AFA" w:rsidP="00592AFA">
      <w:pPr>
        <w:tabs>
          <w:tab w:val="left" w:pos="1260"/>
        </w:tabs>
        <w:rPr>
          <w:rFonts w:ascii="Times New Roman" w:hAnsi="Times New Roman" w:cs="Times New Roman"/>
          <w:b/>
          <w:sz w:val="24"/>
          <w:szCs w:val="24"/>
        </w:rPr>
      </w:pPr>
      <w:r w:rsidRPr="0026079D">
        <w:rPr>
          <w:rFonts w:ascii="Times New Roman" w:hAnsi="Times New Roman" w:cs="Times New Roman"/>
          <w:b/>
          <w:sz w:val="24"/>
          <w:szCs w:val="24"/>
        </w:rPr>
        <w:t>Iesniedzot savu piedāvājumu, apliecinām, ka:</w:t>
      </w:r>
    </w:p>
    <w:p w14:paraId="0B745A2B" w14:textId="7A3DC3E9" w:rsidR="00592AFA" w:rsidRPr="0026079D" w:rsidRDefault="00592AFA" w:rsidP="00592A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79D">
        <w:rPr>
          <w:rFonts w:ascii="Times New Roman" w:hAnsi="Times New Roman" w:cs="Times New Roman"/>
          <w:color w:val="000000"/>
          <w:sz w:val="24"/>
          <w:szCs w:val="24"/>
        </w:rPr>
        <w:t xml:space="preserve">esam iepazinušies ar </w:t>
      </w:r>
      <w:r w:rsidR="00AC5FE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Cenu aptaujas</w:t>
      </w:r>
      <w:r w:rsidR="00AC5FEE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26079D">
        <w:rPr>
          <w:rFonts w:ascii="Times New Roman" w:hAnsi="Times New Roman" w:cs="Times New Roman"/>
          <w:color w:val="000000"/>
          <w:sz w:val="24"/>
          <w:szCs w:val="24"/>
        </w:rPr>
        <w:t>noteikumiem un piekrītam visiem tajos minētajiem nosacījumiem, tie ir skaidri un saprotami, iebildumu un pretenziju pret tiem nav;</w:t>
      </w:r>
    </w:p>
    <w:p w14:paraId="09B3DF6B" w14:textId="39221394" w:rsidR="00592AFA" w:rsidRPr="0026079D" w:rsidRDefault="00592AFA" w:rsidP="00592A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79D">
        <w:rPr>
          <w:rFonts w:ascii="Times New Roman" w:hAnsi="Times New Roman" w:cs="Times New Roman"/>
          <w:color w:val="000000"/>
          <w:sz w:val="24"/>
          <w:szCs w:val="24"/>
        </w:rPr>
        <w:t xml:space="preserve">sniegsim dizainera un maketētāja pakalpojumu saskaņā ar visām noteiktajām </w:t>
      </w:r>
      <w:r w:rsidR="00AC5FE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Cenu aptaujas</w:t>
      </w:r>
      <w:r w:rsidR="00AC5FEE" w:rsidRPr="0026079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26079D">
        <w:rPr>
          <w:rFonts w:ascii="Times New Roman" w:hAnsi="Times New Roman" w:cs="Times New Roman"/>
          <w:color w:val="000000"/>
          <w:sz w:val="24"/>
          <w:szCs w:val="24"/>
        </w:rPr>
        <w:t>noteikumos noteiktajām prasībām;</w:t>
      </w:r>
    </w:p>
    <w:p w14:paraId="548EBD66" w14:textId="77777777" w:rsidR="00592AFA" w:rsidRPr="0026079D" w:rsidRDefault="00592AFA" w:rsidP="00592A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79D">
        <w:rPr>
          <w:rFonts w:ascii="Times New Roman" w:hAnsi="Times New Roman" w:cs="Times New Roman"/>
          <w:color w:val="000000"/>
          <w:sz w:val="24"/>
          <w:szCs w:val="24"/>
        </w:rPr>
        <w:t>mūsu finanšu piedāvājums satur visus ar Pakalpojuma pilnīgu un kvalitatīvu izpildi saistītās izmaksas;</w:t>
      </w:r>
    </w:p>
    <w:p w14:paraId="0304CE5F" w14:textId="77777777" w:rsidR="00592AFA" w:rsidRPr="0026079D" w:rsidRDefault="00592AFA" w:rsidP="00592A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079D">
        <w:rPr>
          <w:rFonts w:ascii="Times New Roman" w:hAnsi="Times New Roman" w:cs="Times New Roman"/>
          <w:color w:val="000000"/>
          <w:sz w:val="24"/>
          <w:szCs w:val="24"/>
        </w:rPr>
        <w:t>apliecinām, kas visa sniegtā informācija ir patiesa.</w:t>
      </w:r>
    </w:p>
    <w:p w14:paraId="6A6DBD98" w14:textId="77777777" w:rsidR="00592AFA" w:rsidRPr="0026079D" w:rsidRDefault="00592AFA" w:rsidP="00592AF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F5B12" w14:textId="77777777" w:rsidR="00592AFA" w:rsidRPr="0026079D" w:rsidRDefault="00592AFA" w:rsidP="00592AFA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79D">
        <w:rPr>
          <w:rFonts w:ascii="Times New Roman" w:hAnsi="Times New Roman" w:cs="Times New Roman"/>
          <w:b/>
          <w:sz w:val="24"/>
          <w:szCs w:val="24"/>
        </w:rPr>
        <w:t>Pretendenta pārstāvis:</w:t>
      </w: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18"/>
        <w:gridCol w:w="3638"/>
      </w:tblGrid>
      <w:tr w:rsidR="00592AFA" w:rsidRPr="0026079D" w14:paraId="7CCE805A" w14:textId="77777777" w:rsidTr="008712E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258CC4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D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2321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FA" w:rsidRPr="0026079D" w14:paraId="7453F2EB" w14:textId="77777777" w:rsidTr="008712E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EF4F5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D">
              <w:rPr>
                <w:rFonts w:ascii="Times New Roman" w:hAnsi="Times New Roman" w:cs="Times New Roman"/>
                <w:sz w:val="24"/>
                <w:szCs w:val="24"/>
              </w:rPr>
              <w:t>Ieņemamais amats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82302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FA" w:rsidRPr="0026079D" w14:paraId="37650118" w14:textId="77777777" w:rsidTr="008712E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B107D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79D">
              <w:rPr>
                <w:rFonts w:ascii="Times New Roman" w:hAnsi="Times New Roman" w:cs="Times New Roman"/>
                <w:sz w:val="24"/>
                <w:szCs w:val="24"/>
              </w:rPr>
              <w:t>Vieta, datums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73A2" w14:textId="77777777" w:rsidR="00592AFA" w:rsidRPr="0026079D" w:rsidRDefault="00592AFA" w:rsidP="008712E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E7B748" w14:textId="77777777" w:rsidR="00592AFA" w:rsidRPr="0026079D" w:rsidRDefault="00592AFA" w:rsidP="00592AFA">
      <w:pPr>
        <w:tabs>
          <w:tab w:val="left" w:pos="1725"/>
        </w:tabs>
        <w:rPr>
          <w:rFonts w:ascii="Times New Roman" w:hAnsi="Times New Roman" w:cs="Times New Roman"/>
        </w:rPr>
      </w:pPr>
    </w:p>
    <w:sectPr w:rsidR="00592AFA" w:rsidRPr="0026079D" w:rsidSect="00407279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8980B" w14:textId="77777777" w:rsidR="001979A7" w:rsidRDefault="001979A7" w:rsidP="00082CE8">
      <w:pPr>
        <w:spacing w:after="0" w:line="240" w:lineRule="auto"/>
      </w:pPr>
      <w:r>
        <w:separator/>
      </w:r>
    </w:p>
  </w:endnote>
  <w:endnote w:type="continuationSeparator" w:id="0">
    <w:p w14:paraId="10992778" w14:textId="77777777" w:rsidR="001979A7" w:rsidRDefault="001979A7" w:rsidP="0008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A7E09" w14:textId="77777777" w:rsidR="001979A7" w:rsidRDefault="001979A7" w:rsidP="00082CE8">
      <w:pPr>
        <w:spacing w:after="0" w:line="240" w:lineRule="auto"/>
      </w:pPr>
      <w:r>
        <w:separator/>
      </w:r>
    </w:p>
  </w:footnote>
  <w:footnote w:type="continuationSeparator" w:id="0">
    <w:p w14:paraId="73E3652F" w14:textId="77777777" w:rsidR="001979A7" w:rsidRDefault="001979A7" w:rsidP="00082CE8">
      <w:pPr>
        <w:spacing w:after="0" w:line="240" w:lineRule="auto"/>
      </w:pPr>
      <w:r>
        <w:continuationSeparator/>
      </w:r>
    </w:p>
  </w:footnote>
  <w:footnote w:id="1">
    <w:p w14:paraId="27237FB3" w14:textId="77777777" w:rsidR="00592AFA" w:rsidRPr="00B3018F" w:rsidRDefault="00592AFA" w:rsidP="00592AFA">
      <w:pPr>
        <w:spacing w:after="60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B3018F">
        <w:rPr>
          <w:rStyle w:val="Vresatsauce"/>
          <w:rFonts w:ascii="Times New Roman" w:hAnsi="Times New Roman" w:cs="Times New Roman"/>
        </w:rPr>
        <w:footnoteRef/>
      </w:r>
      <w:r w:rsidRPr="00B3018F">
        <w:rPr>
          <w:rFonts w:ascii="Times New Roman" w:hAnsi="Times New Roman" w:cs="Times New Roman"/>
          <w:color w:val="000000"/>
          <w:sz w:val="20"/>
          <w:szCs w:val="20"/>
        </w:rPr>
        <w:t xml:space="preserve"> Personu apvienība prasīto informāciju (nosaukumu, reģistrācijas Nr. utt.) aizpilda par katru personu apvienības dalībnieku, kopējot un aizpildot norādīto tabulu. </w:t>
      </w:r>
    </w:p>
  </w:footnote>
  <w:footnote w:id="2">
    <w:p w14:paraId="17E6B7E4" w14:textId="77777777" w:rsidR="00592AFA" w:rsidRPr="00B3018F" w:rsidRDefault="00592AFA" w:rsidP="00592AF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3018F">
        <w:rPr>
          <w:rStyle w:val="Vresatsauce"/>
          <w:rFonts w:ascii="Times New Roman" w:hAnsi="Times New Roman" w:cs="Times New Roman"/>
        </w:rPr>
        <w:footnoteRef/>
      </w:r>
      <w:r w:rsidRPr="00B3018F">
        <w:rPr>
          <w:rFonts w:ascii="Times New Roman" w:hAnsi="Times New Roman" w:cs="Times New Roman"/>
          <w:color w:val="000000"/>
          <w:sz w:val="20"/>
          <w:szCs w:val="20"/>
        </w:rPr>
        <w:t xml:space="preserve"> Ja pretendents ir fiziska persona vai pašnodarbināta persona</w:t>
      </w:r>
    </w:p>
  </w:footnote>
  <w:footnote w:id="3">
    <w:p w14:paraId="092972B5" w14:textId="77777777" w:rsidR="00592AFA" w:rsidRPr="00B3018F" w:rsidRDefault="00592AFA" w:rsidP="00592AF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3018F">
        <w:rPr>
          <w:rStyle w:val="Vresatsauce"/>
          <w:rFonts w:ascii="Times New Roman" w:hAnsi="Times New Roman" w:cs="Times New Roman"/>
        </w:rPr>
        <w:footnoteRef/>
      </w:r>
      <w:r w:rsidRPr="00B3018F">
        <w:rPr>
          <w:rFonts w:ascii="Times New Roman" w:hAnsi="Times New Roman" w:cs="Times New Roman"/>
          <w:color w:val="000000"/>
          <w:sz w:val="20"/>
          <w:szCs w:val="20"/>
        </w:rPr>
        <w:t xml:space="preserve"> Ja pretendents ir fiziska persona. Ja pretendents ir pašnodarbināta persona, norāda pašnodarbinātas personas reģistrācijas numuru.  </w:t>
      </w:r>
    </w:p>
  </w:footnote>
  <w:footnote w:id="4">
    <w:p w14:paraId="16224B2B" w14:textId="77777777" w:rsidR="00592AFA" w:rsidRPr="00B3018F" w:rsidRDefault="00592AFA" w:rsidP="00592AF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3018F">
        <w:rPr>
          <w:rStyle w:val="Vresatsauce"/>
          <w:rFonts w:ascii="Times New Roman" w:hAnsi="Times New Roman" w:cs="Times New Roman"/>
        </w:rPr>
        <w:footnoteRef/>
      </w:r>
      <w:r w:rsidRPr="00B3018F">
        <w:rPr>
          <w:rFonts w:ascii="Times New Roman" w:hAnsi="Times New Roman" w:cs="Times New Roman"/>
          <w:color w:val="000000"/>
          <w:sz w:val="20"/>
          <w:szCs w:val="20"/>
        </w:rPr>
        <w:t xml:space="preserve"> Ja pretendents ir fiziska persona vai pašnodarbināta persona</w:t>
      </w:r>
    </w:p>
  </w:footnote>
  <w:footnote w:id="5">
    <w:p w14:paraId="3CAA7A0D" w14:textId="7BD13EC4" w:rsidR="00592AFA" w:rsidRPr="00B3018F" w:rsidRDefault="00592AFA" w:rsidP="00592AF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B3018F">
        <w:rPr>
          <w:rStyle w:val="Vresatsauce"/>
          <w:rFonts w:ascii="Times New Roman" w:hAnsi="Times New Roman" w:cs="Times New Roman"/>
        </w:rPr>
        <w:footnoteRef/>
      </w:r>
      <w:r w:rsidRPr="00B3018F">
        <w:rPr>
          <w:rFonts w:ascii="Times New Roman" w:hAnsi="Times New Roman" w:cs="Times New Roman"/>
          <w:color w:val="000000"/>
          <w:sz w:val="20"/>
          <w:szCs w:val="20"/>
        </w:rPr>
        <w:t xml:space="preserve"> E-pasts saziņai ar </w:t>
      </w:r>
      <w:r w:rsidR="00AC5FEE" w:rsidRPr="00AC5FEE">
        <w:rPr>
          <w:rFonts w:ascii="Times New Roman" w:hAnsi="Times New Roman" w:cs="Times New Roman"/>
          <w:color w:val="000000"/>
          <w:sz w:val="20"/>
          <w:szCs w:val="20"/>
        </w:rPr>
        <w:t xml:space="preserve">Cenu aptaujas </w:t>
      </w:r>
      <w:r w:rsidRPr="00B3018F">
        <w:rPr>
          <w:rFonts w:ascii="Times New Roman" w:hAnsi="Times New Roman" w:cs="Times New Roman"/>
          <w:color w:val="000000"/>
          <w:sz w:val="20"/>
          <w:szCs w:val="20"/>
        </w:rPr>
        <w:t>veicēju.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F2975"/>
    <w:multiLevelType w:val="multilevel"/>
    <w:tmpl w:val="7346B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15638"/>
    <w:multiLevelType w:val="multilevel"/>
    <w:tmpl w:val="CB9C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A4C6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245C38"/>
    <w:multiLevelType w:val="multilevel"/>
    <w:tmpl w:val="29E0D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720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1B7494"/>
    <w:multiLevelType w:val="multilevel"/>
    <w:tmpl w:val="4D9CD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534E13"/>
    <w:multiLevelType w:val="multilevel"/>
    <w:tmpl w:val="D63C3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E5FD5"/>
    <w:multiLevelType w:val="multilevel"/>
    <w:tmpl w:val="88A0D4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A23C69"/>
    <w:multiLevelType w:val="multilevel"/>
    <w:tmpl w:val="F39066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E531C43"/>
    <w:multiLevelType w:val="multilevel"/>
    <w:tmpl w:val="C93ED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3687988">
    <w:abstractNumId w:val="9"/>
  </w:num>
  <w:num w:numId="2" w16cid:durableId="16277493">
    <w:abstractNumId w:val="5"/>
  </w:num>
  <w:num w:numId="3" w16cid:durableId="526213473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969511168">
    <w:abstractNumId w:val="1"/>
  </w:num>
  <w:num w:numId="5" w16cid:durableId="2025858320">
    <w:abstractNumId w:val="7"/>
    <w:lvlOverride w:ilvl="0">
      <w:lvl w:ilvl="0">
        <w:numFmt w:val="decimal"/>
        <w:lvlText w:val="%1."/>
        <w:lvlJc w:val="left"/>
      </w:lvl>
    </w:lvlOverride>
  </w:num>
  <w:num w:numId="6" w16cid:durableId="1480003693">
    <w:abstractNumId w:val="3"/>
  </w:num>
  <w:num w:numId="7" w16cid:durableId="1816336956">
    <w:abstractNumId w:val="8"/>
  </w:num>
  <w:num w:numId="8" w16cid:durableId="799616928">
    <w:abstractNumId w:val="4"/>
  </w:num>
  <w:num w:numId="9" w16cid:durableId="284895858">
    <w:abstractNumId w:val="2"/>
  </w:num>
  <w:num w:numId="10" w16cid:durableId="10613642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A1"/>
    <w:rsid w:val="000174B4"/>
    <w:rsid w:val="0002722B"/>
    <w:rsid w:val="00056A70"/>
    <w:rsid w:val="00082CE8"/>
    <w:rsid w:val="000C47DA"/>
    <w:rsid w:val="00101558"/>
    <w:rsid w:val="00117BCB"/>
    <w:rsid w:val="00154E1B"/>
    <w:rsid w:val="001733E8"/>
    <w:rsid w:val="00183686"/>
    <w:rsid w:val="00194058"/>
    <w:rsid w:val="001979A7"/>
    <w:rsid w:val="00217E7F"/>
    <w:rsid w:val="0026079D"/>
    <w:rsid w:val="00267E73"/>
    <w:rsid w:val="00295324"/>
    <w:rsid w:val="002F4135"/>
    <w:rsid w:val="0033715E"/>
    <w:rsid w:val="0035342D"/>
    <w:rsid w:val="00357D26"/>
    <w:rsid w:val="00397D70"/>
    <w:rsid w:val="003A5252"/>
    <w:rsid w:val="003A6FA9"/>
    <w:rsid w:val="00407279"/>
    <w:rsid w:val="00481CE5"/>
    <w:rsid w:val="00493BA3"/>
    <w:rsid w:val="004940BC"/>
    <w:rsid w:val="004B5419"/>
    <w:rsid w:val="005045E4"/>
    <w:rsid w:val="0056216E"/>
    <w:rsid w:val="00564166"/>
    <w:rsid w:val="00592AFA"/>
    <w:rsid w:val="005D471B"/>
    <w:rsid w:val="00600AAE"/>
    <w:rsid w:val="006060BF"/>
    <w:rsid w:val="00606E15"/>
    <w:rsid w:val="00654011"/>
    <w:rsid w:val="006A0615"/>
    <w:rsid w:val="00701B70"/>
    <w:rsid w:val="0071464B"/>
    <w:rsid w:val="007227FE"/>
    <w:rsid w:val="007327C6"/>
    <w:rsid w:val="00760DBA"/>
    <w:rsid w:val="00792694"/>
    <w:rsid w:val="007945EC"/>
    <w:rsid w:val="007A53FB"/>
    <w:rsid w:val="00836A52"/>
    <w:rsid w:val="008966C5"/>
    <w:rsid w:val="008A0EC7"/>
    <w:rsid w:val="008E626F"/>
    <w:rsid w:val="00906F09"/>
    <w:rsid w:val="00947BF9"/>
    <w:rsid w:val="009B2C2D"/>
    <w:rsid w:val="009B4E19"/>
    <w:rsid w:val="009E7722"/>
    <w:rsid w:val="00AA10BF"/>
    <w:rsid w:val="00AC5B31"/>
    <w:rsid w:val="00AC5FEE"/>
    <w:rsid w:val="00B0505A"/>
    <w:rsid w:val="00B17429"/>
    <w:rsid w:val="00B47D87"/>
    <w:rsid w:val="00B721EC"/>
    <w:rsid w:val="00B9323A"/>
    <w:rsid w:val="00BC7057"/>
    <w:rsid w:val="00BD6FB5"/>
    <w:rsid w:val="00C04AB9"/>
    <w:rsid w:val="00C35FB7"/>
    <w:rsid w:val="00C37FCD"/>
    <w:rsid w:val="00D10B2E"/>
    <w:rsid w:val="00D277F4"/>
    <w:rsid w:val="00D86823"/>
    <w:rsid w:val="00DA0AB5"/>
    <w:rsid w:val="00DB347D"/>
    <w:rsid w:val="00DB784A"/>
    <w:rsid w:val="00DF0A54"/>
    <w:rsid w:val="00DF78AA"/>
    <w:rsid w:val="00E12668"/>
    <w:rsid w:val="00E34700"/>
    <w:rsid w:val="00E60E34"/>
    <w:rsid w:val="00E83172"/>
    <w:rsid w:val="00E87AA1"/>
    <w:rsid w:val="00E90556"/>
    <w:rsid w:val="00EE0465"/>
    <w:rsid w:val="00EF5266"/>
    <w:rsid w:val="00F06496"/>
    <w:rsid w:val="00F35FDC"/>
    <w:rsid w:val="00F56D68"/>
    <w:rsid w:val="00F61A5F"/>
    <w:rsid w:val="00F72587"/>
    <w:rsid w:val="00F752F2"/>
    <w:rsid w:val="00F914B1"/>
    <w:rsid w:val="00FB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504E"/>
  <w15:chartTrackingRefBased/>
  <w15:docId w15:val="{81C6869B-83F6-4507-920F-9FE418E9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E8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E87AA1"/>
    <w:rPr>
      <w:color w:val="0000FF"/>
      <w:u w:val="single"/>
    </w:rPr>
  </w:style>
  <w:style w:type="character" w:customStyle="1" w:styleId="apple-tab-span">
    <w:name w:val="apple-tab-span"/>
    <w:basedOn w:val="Noklusjumarindkopasfonts"/>
    <w:rsid w:val="00E87AA1"/>
  </w:style>
  <w:style w:type="paragraph" w:styleId="Sarakstarindkopa">
    <w:name w:val="List Paragraph"/>
    <w:basedOn w:val="Parasts"/>
    <w:uiPriority w:val="34"/>
    <w:qFormat/>
    <w:rsid w:val="00E87AA1"/>
    <w:pPr>
      <w:ind w:left="720"/>
      <w:contextualSpacing/>
    </w:pPr>
  </w:style>
  <w:style w:type="character" w:styleId="Vresatsau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link w:val="CharCharCharChar"/>
    <w:uiPriority w:val="99"/>
    <w:unhideWhenUsed/>
    <w:rsid w:val="00082CE8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082CE8"/>
    <w:pPr>
      <w:keepNext/>
      <w:keepLines/>
      <w:spacing w:before="120" w:line="240" w:lineRule="exact"/>
      <w:jc w:val="both"/>
      <w:outlineLvl w:val="0"/>
    </w:pPr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5342D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C35F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7504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verdina@kurzemesregion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a.verdina@kurzemesregions.l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urzemesregions.lv/projekti/pievilciga-dzives-vide/surum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entralbaltic.eu/programme/information-materials/%20%20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6111</Words>
  <Characters>3484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Laura Homka</cp:lastModifiedBy>
  <cp:revision>7</cp:revision>
  <dcterms:created xsi:type="dcterms:W3CDTF">2025-03-12T08:50:00Z</dcterms:created>
  <dcterms:modified xsi:type="dcterms:W3CDTF">2025-03-12T09:05:00Z</dcterms:modified>
</cp:coreProperties>
</file>